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226" w:type="dxa"/>
        <w:jc w:val="left"/>
        <w:tblInd w:w="0" w:type="dxa"/>
        <w:tblLayout w:type="fixed"/>
        <w:tblCellMar>
          <w:top w:w="28" w:type="dxa"/>
          <w:left w:w="28" w:type="dxa"/>
          <w:bottom w:w="28" w:type="dxa"/>
          <w:right w:w="28" w:type="dxa"/>
        </w:tblCellMar>
      </w:tblPr>
      <w:tblGrid>
        <w:gridCol w:w="6226"/>
      </w:tblGrid>
      <w:tr>
        <w:trPr/>
        <w:tc>
          <w:tcPr>
            <w:tcW w:w="622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22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left"/>
              <w:rPr/>
            </w:pPr>
            <w:r>
              <w:rPr/>
              <w:t xml:space="preserve">UNDER THE SECURITIES EXCHANGE ACT OF 1934 </w:t>
            </w:r>
          </w:p>
        </w:tc>
      </w:tr>
      <w:tr>
        <w:trPr/>
        <w:tc>
          <w:tcPr>
            <w:tcW w:w="622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Revolution Medicines,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Common Stock, par value $0.0001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22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22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Master,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13,564,149.00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13,564,149.00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13,564,149.00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166"/>
        <w:gridCol w:w="8884"/>
        <w:gridCol w:w="155"/>
      </w:tblGrid>
      <w:tr>
        <w:trPr/>
        <w:tc>
          <w:tcPr>
            <w:tcW w:w="1166" w:type="dxa"/>
            <w:tcBorders/>
            <w:vAlign w:val="center"/>
          </w:tcPr>
          <w:p>
            <w:pPr>
              <w:pStyle w:val="TableContents"/>
              <w:bidi w:val="0"/>
              <w:spacing w:before="0" w:after="283"/>
              <w:jc w:val="left"/>
              <w:rPr/>
            </w:pPr>
            <w:r>
              <w:rPr/>
              <w:t>Item 1.</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issuer: </w:t>
            </w:r>
          </w:p>
          <w:p>
            <w:pPr>
              <w:pStyle w:val="TableContents"/>
              <w:bidi w:val="0"/>
              <w:spacing w:before="0" w:after="0"/>
              <w:jc w:val="left"/>
              <w:rPr/>
            </w:pPr>
            <w:r>
              <w:rPr/>
              <w:t>Revolution Medicines, Inc.</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 Saginaw Drive, Redwood City, California 94063</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2.</w:t>
            </w:r>
          </w:p>
        </w:tc>
        <w:tc>
          <w:tcPr>
            <w:tcW w:w="888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the Shares that the Farallon Funds currently have the right to acquire upon the exercise of Warrants (as defined in Item 4); and (ii) The following persons, each of whom is a managing member or senior managing member, as the case may be, of the Investment Manager, with respect to the Shares held by the Farallon Funds and the Shares that the Farallon Funds currently have the right to acquire upon the exercise of Warrants: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3.</w:t>
            </w:r>
          </w:p>
        </w:tc>
        <w:tc>
          <w:tcPr>
            <w:tcW w:w="888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(d)</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(e)</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(f)</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(g)</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(h)</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(j)</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(k)</w:t>
            </w:r>
          </w:p>
        </w:tc>
        <w:tc>
          <w:tcPr>
            <w:tcW w:w="8884"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9039" w:type="dxa"/>
            <w:gridSpan w:val="2"/>
            <w:tcBorders/>
            <w:vAlign w:val="center"/>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4.</w:t>
            </w:r>
          </w:p>
        </w:tc>
        <w:tc>
          <w:tcPr>
            <w:tcW w:w="888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(a)</w:t>
            </w:r>
          </w:p>
        </w:tc>
        <w:tc>
          <w:tcPr>
            <w:tcW w:w="888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securities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(viii) Farallon Capital F5 Master I, L.P., a Cayman Islands exempted limited partnership ("F5MI"); and (ix) Farallon Healthcare Partners Master, L.P., a Cayman Islands exempted limited partnership ("FHPM"). FCP, FCIP, FCIP II, FCIP III, FCIP V, FCOI II, FCAMI, F5MI and FHPM are together referred to herein as the "Farallon Funds." As of the date of the event requiring the filing of this statement, the Farallon Funds hold an aggregate of: (i) 13,550,796 Shares; and (ii) 120,085 Common Stock Purchase Warrants (the "Warrants"), each of which is exercisable, subject to the Beneficial Ownership Limitation (as defined below), to purchase 0.1112 Share. The terms of the Warrants provide that Warrants may not be exercised to the extent that, after giving effect to such exercise, the Reporting Persons would beneficially own, as determined in accordance with Section 13(d) of the Securities Exchange Act of 1934, as amended, more than 9.99% of the Shares then issued and outstanding (the "Beneficial Ownership Limitation"). As of the date requiring the filing of this statement, the Beneficial Ownership Limitation does not prevent the Farallon Funds from exercising any Warrants. Accordingly, in providing the beneficial ownership information set forth herein, the Reporting Persons have assumed that all of the aggregate 120,085 Warrants held by the Farallon Funds are exercisable within 60 days of the date hereof and therefore confer beneficial ownership of the underlying Shares.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(b)</w:t>
            </w:r>
          </w:p>
        </w:tc>
        <w:tc>
          <w:tcPr>
            <w:tcW w:w="888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(c)</w:t>
            </w:r>
          </w:p>
        </w:tc>
        <w:tc>
          <w:tcPr>
            <w:tcW w:w="888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5.</w:t>
            </w:r>
          </w:p>
        </w:tc>
        <w:tc>
          <w:tcPr>
            <w:tcW w:w="888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6.</w:t>
            </w:r>
          </w:p>
        </w:tc>
        <w:tc>
          <w:tcPr>
            <w:tcW w:w="888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7.</w:t>
            </w:r>
          </w:p>
        </w:tc>
        <w:tc>
          <w:tcPr>
            <w:tcW w:w="888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8.</w:t>
            </w:r>
          </w:p>
        </w:tc>
        <w:tc>
          <w:tcPr>
            <w:tcW w:w="888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Item 9.</w:t>
            </w:r>
          </w:p>
        </w:tc>
        <w:tc>
          <w:tcPr>
            <w:tcW w:w="888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6" w:type="dxa"/>
            <w:tcBorders/>
            <w:vAlign w:val="center"/>
          </w:tcPr>
          <w:p>
            <w:pPr>
              <w:pStyle w:val="TableContents"/>
              <w:bidi w:val="0"/>
              <w:spacing w:before="0" w:after="283"/>
              <w:jc w:val="left"/>
              <w:rPr/>
            </w:pPr>
            <w:r>
              <w:rPr/>
              <w:t> </w:t>
            </w:r>
          </w:p>
        </w:tc>
        <w:tc>
          <w:tcPr>
            <w:tcW w:w="888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Farallon Healthcare Partners Master, L.P.</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Farallon Healthcare Partners (GP),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Each of Farallon Partners, L.L.C., Farallon Institutional (GP) V, L.L.C., Farallon F5 (GP), L.L.C, and Farallon Healthcare Partners (GP), L.L.C. has executed this statement in Mill Valley, California, on behalf of itself and each fund for which it is the general partner.</w:t>
      </w:r>
    </w:p>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8" w:name="jas.htm"/>
      <w:bookmarkStart w:id="129" w:name="ksjas"/>
      <w:bookmarkEnd w:id="128"/>
      <w:bookmarkEnd w:id="129"/>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pPr>
      <w:r>
        <w:rPr>
          <w:spacing w:val="0"/>
          <w:sz w:val="20"/>
        </w:rPr>
        <w:t>Dated: August 13, 2026</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sz w:val="20"/>
              </w:rPr>
              <w:t>By Hannah E. Dunn, Managing Member</w:t>
            </w:r>
            <w:r>
              <w:rPr/>
              <w:t xml:space="preserve"> </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w:t>
            </w:r>
            <w:r>
              <w:rPr>
                <w:spacing w:val="0"/>
                <w:sz w:val="20"/>
              </w:rPr>
              <w:t>, </w:t>
            </w:r>
            <w:r>
              <w:rPr>
                <w:sz w:val="20"/>
              </w:rPr>
              <w:t>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5588</Words>
  <Characters>29013</Characters>
  <CharactersWithSpaces>34044</CharactersWithSpaces>
  <Paragraphs>1471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